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52FD" w14:textId="77777777" w:rsidR="005F6D1F" w:rsidRPr="00EA6D3D" w:rsidRDefault="00EA6D3D" w:rsidP="00EA6D3D">
      <w:pPr>
        <w:pStyle w:val="NoSpacing"/>
        <w:jc w:val="center"/>
        <w:rPr>
          <w:b/>
        </w:rPr>
      </w:pPr>
      <w:r w:rsidRPr="00EA6D3D">
        <w:rPr>
          <w:b/>
        </w:rPr>
        <w:t>Water of Fleet District Salmon Fisheries Board</w:t>
      </w:r>
    </w:p>
    <w:p w14:paraId="7595A14D" w14:textId="77777777" w:rsidR="00EA6D3D" w:rsidRPr="00EA6D3D" w:rsidRDefault="00EA6D3D" w:rsidP="00EA6D3D">
      <w:pPr>
        <w:pStyle w:val="NoSpacing"/>
        <w:jc w:val="center"/>
        <w:rPr>
          <w:b/>
        </w:rPr>
      </w:pPr>
    </w:p>
    <w:p w14:paraId="085A0EAC" w14:textId="47826B18" w:rsidR="00EA6D3D" w:rsidRPr="00EA6D3D" w:rsidRDefault="00EA6D3D" w:rsidP="00EA6D3D">
      <w:pPr>
        <w:pStyle w:val="NoSpacing"/>
        <w:jc w:val="center"/>
        <w:rPr>
          <w:b/>
        </w:rPr>
      </w:pPr>
      <w:r w:rsidRPr="00EA6D3D">
        <w:rPr>
          <w:b/>
        </w:rPr>
        <w:t>Chairman’s Report 20</w:t>
      </w:r>
      <w:r w:rsidR="005039C6">
        <w:rPr>
          <w:b/>
        </w:rPr>
        <w:t>20</w:t>
      </w:r>
    </w:p>
    <w:p w14:paraId="01F18E2A" w14:textId="77777777" w:rsidR="00EA6D3D" w:rsidRDefault="00EA6D3D" w:rsidP="00EA6D3D">
      <w:pPr>
        <w:pStyle w:val="NoSpacing"/>
        <w:jc w:val="center"/>
      </w:pPr>
    </w:p>
    <w:p w14:paraId="2AE7A525" w14:textId="77777777" w:rsidR="00EA6D3D" w:rsidRPr="00EA6D3D" w:rsidRDefault="00EA6D3D" w:rsidP="00EA6D3D">
      <w:pPr>
        <w:pStyle w:val="NoSpacing"/>
        <w:rPr>
          <w:b/>
        </w:rPr>
      </w:pPr>
      <w:r w:rsidRPr="00EA6D3D">
        <w:rPr>
          <w:b/>
        </w:rPr>
        <w:t>Overview</w:t>
      </w:r>
    </w:p>
    <w:p w14:paraId="13B745A7" w14:textId="77777777" w:rsidR="00EA6D3D" w:rsidRDefault="00EA6D3D" w:rsidP="00EA6D3D">
      <w:pPr>
        <w:pStyle w:val="NoSpacing"/>
      </w:pPr>
    </w:p>
    <w:p w14:paraId="78F7CD8A" w14:textId="5EC7A551" w:rsidR="00EA6D3D" w:rsidRDefault="00EA6D3D" w:rsidP="00EA6D3D">
      <w:pPr>
        <w:pStyle w:val="NoSpacing"/>
      </w:pPr>
      <w:r>
        <w:t xml:space="preserve">The Water of Fleet </w:t>
      </w:r>
      <w:r w:rsidR="009C3E6C">
        <w:t xml:space="preserve">will </w:t>
      </w:r>
      <w:r>
        <w:t>continue to be categorised as Category 3 for 2019.</w:t>
      </w:r>
      <w:r w:rsidR="009C3E6C">
        <w:t xml:space="preserve"> This means that e</w:t>
      </w:r>
      <w:r w:rsidR="009C3E6C" w:rsidRPr="009C3E6C">
        <w:t xml:space="preserve">xploitation is </w:t>
      </w:r>
      <w:r w:rsidR="009C3E6C">
        <w:t xml:space="preserve">considered </w:t>
      </w:r>
      <w:r w:rsidR="009C3E6C" w:rsidRPr="009C3E6C">
        <w:t xml:space="preserve">unsustainable therefore management actions required to reduce exploitation for 1 year </w:t>
      </w:r>
      <w:proofErr w:type="gramStart"/>
      <w:r w:rsidR="009C3E6C" w:rsidRPr="009C3E6C">
        <w:t>i.e.</w:t>
      </w:r>
      <w:proofErr w:type="gramEnd"/>
      <w:r w:rsidR="009C3E6C" w:rsidRPr="009C3E6C">
        <w:t xml:space="preserve"> mandatory catch and release</w:t>
      </w:r>
      <w:r w:rsidR="00FA2C1B">
        <w:t xml:space="preserve"> of salmon</w:t>
      </w:r>
      <w:r w:rsidR="00610059">
        <w:t xml:space="preserve"> </w:t>
      </w:r>
      <w:r w:rsidR="009C3E6C" w:rsidRPr="009C3E6C">
        <w:t>(all methods).</w:t>
      </w:r>
    </w:p>
    <w:p w14:paraId="559517F9" w14:textId="77777777" w:rsidR="00EA6D3D" w:rsidRDefault="00EA6D3D" w:rsidP="00EA6D3D">
      <w:pPr>
        <w:pStyle w:val="NoSpacing"/>
      </w:pPr>
    </w:p>
    <w:p w14:paraId="53C59A93" w14:textId="77777777" w:rsidR="00EA6D3D" w:rsidRDefault="00183BA5" w:rsidP="00EA6D3D">
      <w:pPr>
        <w:pStyle w:val="NoSpacing"/>
      </w:pPr>
      <w:r>
        <w:t>C</w:t>
      </w:r>
      <w:r w:rsidR="00EA6D3D">
        <w:t>atch statistics (</w:t>
      </w:r>
      <w:r w:rsidR="00354C5F">
        <w:t>source:</w:t>
      </w:r>
      <w:r w:rsidR="00EA6D3D">
        <w:t xml:space="preserve"> </w:t>
      </w:r>
      <w:r>
        <w:t xml:space="preserve">Marine Scotland) </w:t>
      </w:r>
      <w:r w:rsidR="00EA6D3D">
        <w:t>were:</w:t>
      </w:r>
    </w:p>
    <w:p w14:paraId="5EC7E18D" w14:textId="77777777" w:rsidR="00EA6D3D" w:rsidRDefault="00EA6D3D" w:rsidP="00EA6D3D">
      <w:pPr>
        <w:pStyle w:val="NoSpacing"/>
      </w:pPr>
    </w:p>
    <w:tbl>
      <w:tblPr>
        <w:tblStyle w:val="TableGrid"/>
        <w:tblW w:w="0" w:type="auto"/>
        <w:tblLook w:val="04A0" w:firstRow="1" w:lastRow="0" w:firstColumn="1" w:lastColumn="0" w:noHBand="0" w:noVBand="1"/>
      </w:tblPr>
      <w:tblGrid>
        <w:gridCol w:w="1392"/>
        <w:gridCol w:w="1060"/>
        <w:gridCol w:w="1061"/>
        <w:gridCol w:w="1175"/>
        <w:gridCol w:w="1175"/>
        <w:gridCol w:w="1175"/>
        <w:gridCol w:w="989"/>
        <w:gridCol w:w="989"/>
      </w:tblGrid>
      <w:tr w:rsidR="008F6D3A" w14:paraId="5836A7CE" w14:textId="412E85C5" w:rsidTr="008F6D3A">
        <w:tc>
          <w:tcPr>
            <w:tcW w:w="1392" w:type="dxa"/>
          </w:tcPr>
          <w:p w14:paraId="3524CA7F" w14:textId="77777777" w:rsidR="008F6D3A" w:rsidRDefault="008F6D3A" w:rsidP="00EA6D3D">
            <w:pPr>
              <w:pStyle w:val="NoSpacing"/>
            </w:pPr>
          </w:p>
        </w:tc>
        <w:tc>
          <w:tcPr>
            <w:tcW w:w="1060" w:type="dxa"/>
          </w:tcPr>
          <w:p w14:paraId="5F792FAB" w14:textId="77777777" w:rsidR="008F6D3A" w:rsidRPr="00CE272B" w:rsidRDefault="008F6D3A" w:rsidP="00EA6D3D">
            <w:pPr>
              <w:pStyle w:val="NoSpacing"/>
              <w:rPr>
                <w:b/>
                <w:bCs/>
              </w:rPr>
            </w:pPr>
            <w:r w:rsidRPr="00CE272B">
              <w:rPr>
                <w:b/>
                <w:bCs/>
              </w:rPr>
              <w:t>2014</w:t>
            </w:r>
          </w:p>
        </w:tc>
        <w:tc>
          <w:tcPr>
            <w:tcW w:w="1061" w:type="dxa"/>
          </w:tcPr>
          <w:p w14:paraId="4726A28A" w14:textId="77777777" w:rsidR="008F6D3A" w:rsidRPr="00CE272B" w:rsidRDefault="008F6D3A" w:rsidP="00EA6D3D">
            <w:pPr>
              <w:pStyle w:val="NoSpacing"/>
              <w:rPr>
                <w:b/>
                <w:bCs/>
              </w:rPr>
            </w:pPr>
            <w:r w:rsidRPr="00CE272B">
              <w:rPr>
                <w:b/>
                <w:bCs/>
              </w:rPr>
              <w:t>2015</w:t>
            </w:r>
          </w:p>
        </w:tc>
        <w:tc>
          <w:tcPr>
            <w:tcW w:w="1175" w:type="dxa"/>
          </w:tcPr>
          <w:p w14:paraId="303665CB" w14:textId="77777777" w:rsidR="008F6D3A" w:rsidRPr="00CE272B" w:rsidRDefault="008F6D3A" w:rsidP="00EA6D3D">
            <w:pPr>
              <w:pStyle w:val="NoSpacing"/>
              <w:rPr>
                <w:b/>
                <w:bCs/>
              </w:rPr>
            </w:pPr>
            <w:r w:rsidRPr="00CE272B">
              <w:rPr>
                <w:b/>
                <w:bCs/>
              </w:rPr>
              <w:t>2016</w:t>
            </w:r>
          </w:p>
        </w:tc>
        <w:tc>
          <w:tcPr>
            <w:tcW w:w="1175" w:type="dxa"/>
          </w:tcPr>
          <w:p w14:paraId="31EBF889" w14:textId="77777777" w:rsidR="008F6D3A" w:rsidRPr="00CE272B" w:rsidRDefault="008F6D3A" w:rsidP="00EA6D3D">
            <w:pPr>
              <w:pStyle w:val="NoSpacing"/>
              <w:rPr>
                <w:b/>
                <w:bCs/>
              </w:rPr>
            </w:pPr>
            <w:r w:rsidRPr="00CE272B">
              <w:rPr>
                <w:b/>
                <w:bCs/>
              </w:rPr>
              <w:t>2017</w:t>
            </w:r>
          </w:p>
        </w:tc>
        <w:tc>
          <w:tcPr>
            <w:tcW w:w="1175" w:type="dxa"/>
          </w:tcPr>
          <w:p w14:paraId="44AA66CD" w14:textId="77777777" w:rsidR="008F6D3A" w:rsidRPr="00CE272B" w:rsidRDefault="008F6D3A" w:rsidP="00EA6D3D">
            <w:pPr>
              <w:pStyle w:val="NoSpacing"/>
              <w:rPr>
                <w:b/>
                <w:bCs/>
              </w:rPr>
            </w:pPr>
            <w:r w:rsidRPr="00CE272B">
              <w:rPr>
                <w:b/>
                <w:bCs/>
              </w:rPr>
              <w:t>2018</w:t>
            </w:r>
          </w:p>
        </w:tc>
        <w:tc>
          <w:tcPr>
            <w:tcW w:w="989" w:type="dxa"/>
          </w:tcPr>
          <w:p w14:paraId="2D8D447C" w14:textId="13E81484" w:rsidR="008F6D3A" w:rsidRPr="00CE272B" w:rsidRDefault="008F6D3A" w:rsidP="00EA6D3D">
            <w:pPr>
              <w:pStyle w:val="NoSpacing"/>
              <w:rPr>
                <w:b/>
                <w:bCs/>
              </w:rPr>
            </w:pPr>
            <w:r w:rsidRPr="00CE272B">
              <w:rPr>
                <w:b/>
                <w:bCs/>
              </w:rPr>
              <w:t>2019</w:t>
            </w:r>
          </w:p>
        </w:tc>
        <w:tc>
          <w:tcPr>
            <w:tcW w:w="989" w:type="dxa"/>
          </w:tcPr>
          <w:p w14:paraId="6B0F050A" w14:textId="77777777" w:rsidR="008F6D3A" w:rsidRPr="00CE272B" w:rsidRDefault="005039C6" w:rsidP="00EA6D3D">
            <w:pPr>
              <w:pStyle w:val="NoSpacing"/>
              <w:rPr>
                <w:b/>
                <w:bCs/>
              </w:rPr>
            </w:pPr>
            <w:r w:rsidRPr="00CE272B">
              <w:rPr>
                <w:b/>
                <w:bCs/>
              </w:rPr>
              <w:t>2020</w:t>
            </w:r>
          </w:p>
          <w:p w14:paraId="30CEBCD8" w14:textId="24444B71" w:rsidR="005039C6" w:rsidRPr="00CE272B" w:rsidRDefault="005039C6" w:rsidP="00EA6D3D">
            <w:pPr>
              <w:pStyle w:val="NoSpacing"/>
              <w:rPr>
                <w:b/>
                <w:bCs/>
              </w:rPr>
            </w:pPr>
          </w:p>
        </w:tc>
      </w:tr>
      <w:tr w:rsidR="008F6D3A" w14:paraId="3C039047" w14:textId="062F81FD" w:rsidTr="008F6D3A">
        <w:tc>
          <w:tcPr>
            <w:tcW w:w="1392" w:type="dxa"/>
          </w:tcPr>
          <w:p w14:paraId="43D061CD" w14:textId="77777777" w:rsidR="008F6D3A" w:rsidRDefault="008F6D3A" w:rsidP="00EA6D3D">
            <w:pPr>
              <w:pStyle w:val="NoSpacing"/>
            </w:pPr>
            <w:r>
              <w:t>Salmon and grilse</w:t>
            </w:r>
          </w:p>
        </w:tc>
        <w:tc>
          <w:tcPr>
            <w:tcW w:w="1060" w:type="dxa"/>
          </w:tcPr>
          <w:p w14:paraId="2C44D8C1" w14:textId="77777777" w:rsidR="008F6D3A" w:rsidRDefault="008F6D3A" w:rsidP="00EA6D3D">
            <w:pPr>
              <w:pStyle w:val="NoSpacing"/>
            </w:pPr>
            <w:r>
              <w:t>0</w:t>
            </w:r>
          </w:p>
        </w:tc>
        <w:tc>
          <w:tcPr>
            <w:tcW w:w="1061" w:type="dxa"/>
          </w:tcPr>
          <w:p w14:paraId="683C3170" w14:textId="77777777" w:rsidR="008F6D3A" w:rsidRDefault="008F6D3A" w:rsidP="00EA6D3D">
            <w:pPr>
              <w:pStyle w:val="NoSpacing"/>
            </w:pPr>
            <w:r>
              <w:t>0</w:t>
            </w:r>
          </w:p>
        </w:tc>
        <w:tc>
          <w:tcPr>
            <w:tcW w:w="1175" w:type="dxa"/>
          </w:tcPr>
          <w:p w14:paraId="684180E8" w14:textId="77777777" w:rsidR="008F6D3A" w:rsidRDefault="008F6D3A" w:rsidP="00EA6D3D">
            <w:pPr>
              <w:pStyle w:val="NoSpacing"/>
            </w:pPr>
            <w:r>
              <w:t>6</w:t>
            </w:r>
          </w:p>
        </w:tc>
        <w:tc>
          <w:tcPr>
            <w:tcW w:w="1175" w:type="dxa"/>
          </w:tcPr>
          <w:p w14:paraId="33FB41B6" w14:textId="77777777" w:rsidR="008F6D3A" w:rsidRDefault="008F6D3A" w:rsidP="00EA6D3D">
            <w:pPr>
              <w:pStyle w:val="NoSpacing"/>
            </w:pPr>
            <w:r>
              <w:t>11</w:t>
            </w:r>
          </w:p>
        </w:tc>
        <w:tc>
          <w:tcPr>
            <w:tcW w:w="1175" w:type="dxa"/>
          </w:tcPr>
          <w:p w14:paraId="4914BF81" w14:textId="77777777" w:rsidR="008F6D3A" w:rsidRDefault="008F6D3A" w:rsidP="00EA6D3D">
            <w:pPr>
              <w:pStyle w:val="NoSpacing"/>
            </w:pPr>
            <w:r>
              <w:t>3</w:t>
            </w:r>
          </w:p>
        </w:tc>
        <w:tc>
          <w:tcPr>
            <w:tcW w:w="989" w:type="dxa"/>
          </w:tcPr>
          <w:p w14:paraId="6B204F3B" w14:textId="3A414C6A" w:rsidR="008F6D3A" w:rsidRDefault="005039C6" w:rsidP="00EA6D3D">
            <w:pPr>
              <w:pStyle w:val="NoSpacing"/>
            </w:pPr>
            <w:r>
              <w:t>4</w:t>
            </w:r>
          </w:p>
        </w:tc>
        <w:tc>
          <w:tcPr>
            <w:tcW w:w="989" w:type="dxa"/>
          </w:tcPr>
          <w:p w14:paraId="679A8061" w14:textId="666683F7" w:rsidR="008F6D3A" w:rsidRDefault="005039C6" w:rsidP="00EA6D3D">
            <w:pPr>
              <w:pStyle w:val="NoSpacing"/>
            </w:pPr>
            <w:r>
              <w:t>8</w:t>
            </w:r>
          </w:p>
        </w:tc>
      </w:tr>
      <w:tr w:rsidR="008F6D3A" w14:paraId="094991D7" w14:textId="2D3BEF4B" w:rsidTr="008F6D3A">
        <w:tc>
          <w:tcPr>
            <w:tcW w:w="1392" w:type="dxa"/>
          </w:tcPr>
          <w:p w14:paraId="6FC2DA84" w14:textId="77777777" w:rsidR="008F6D3A" w:rsidRDefault="008F6D3A" w:rsidP="00EA6D3D">
            <w:pPr>
              <w:pStyle w:val="NoSpacing"/>
            </w:pPr>
            <w:r>
              <w:t xml:space="preserve">Seatrout and </w:t>
            </w:r>
            <w:proofErr w:type="spellStart"/>
            <w:r>
              <w:t>finnock</w:t>
            </w:r>
            <w:proofErr w:type="spellEnd"/>
          </w:p>
        </w:tc>
        <w:tc>
          <w:tcPr>
            <w:tcW w:w="1060" w:type="dxa"/>
          </w:tcPr>
          <w:p w14:paraId="2145FB48" w14:textId="77777777" w:rsidR="008F6D3A" w:rsidRDefault="008F6D3A" w:rsidP="00EA6D3D">
            <w:pPr>
              <w:pStyle w:val="NoSpacing"/>
            </w:pPr>
            <w:r>
              <w:t>13</w:t>
            </w:r>
          </w:p>
        </w:tc>
        <w:tc>
          <w:tcPr>
            <w:tcW w:w="1061" w:type="dxa"/>
          </w:tcPr>
          <w:p w14:paraId="14C5C06B" w14:textId="77777777" w:rsidR="008F6D3A" w:rsidRDefault="008F6D3A" w:rsidP="00EA6D3D">
            <w:pPr>
              <w:pStyle w:val="NoSpacing"/>
            </w:pPr>
            <w:r>
              <w:t>19</w:t>
            </w:r>
          </w:p>
        </w:tc>
        <w:tc>
          <w:tcPr>
            <w:tcW w:w="1175" w:type="dxa"/>
          </w:tcPr>
          <w:p w14:paraId="01737263" w14:textId="77777777" w:rsidR="008F6D3A" w:rsidRDefault="008F6D3A" w:rsidP="00EA6D3D">
            <w:pPr>
              <w:pStyle w:val="NoSpacing"/>
            </w:pPr>
            <w:r>
              <w:t>20</w:t>
            </w:r>
          </w:p>
        </w:tc>
        <w:tc>
          <w:tcPr>
            <w:tcW w:w="1175" w:type="dxa"/>
          </w:tcPr>
          <w:p w14:paraId="44F7E534" w14:textId="77777777" w:rsidR="008F6D3A" w:rsidRDefault="008F6D3A" w:rsidP="00EA6D3D">
            <w:pPr>
              <w:pStyle w:val="NoSpacing"/>
            </w:pPr>
            <w:r>
              <w:t>17</w:t>
            </w:r>
          </w:p>
        </w:tc>
        <w:tc>
          <w:tcPr>
            <w:tcW w:w="1175" w:type="dxa"/>
          </w:tcPr>
          <w:p w14:paraId="7520E04B" w14:textId="77777777" w:rsidR="008F6D3A" w:rsidRDefault="008F6D3A" w:rsidP="00EA6D3D">
            <w:pPr>
              <w:pStyle w:val="NoSpacing"/>
            </w:pPr>
            <w:r>
              <w:t>21</w:t>
            </w:r>
          </w:p>
        </w:tc>
        <w:tc>
          <w:tcPr>
            <w:tcW w:w="989" w:type="dxa"/>
          </w:tcPr>
          <w:p w14:paraId="134B7375" w14:textId="5F3A9B59" w:rsidR="008F6D3A" w:rsidRDefault="005039C6" w:rsidP="00EA6D3D">
            <w:pPr>
              <w:pStyle w:val="NoSpacing"/>
            </w:pPr>
            <w:r>
              <w:t>36</w:t>
            </w:r>
          </w:p>
        </w:tc>
        <w:tc>
          <w:tcPr>
            <w:tcW w:w="989" w:type="dxa"/>
          </w:tcPr>
          <w:p w14:paraId="3AE2AD3C" w14:textId="77777777" w:rsidR="008F6D3A" w:rsidRDefault="005039C6" w:rsidP="00EA6D3D">
            <w:pPr>
              <w:pStyle w:val="NoSpacing"/>
            </w:pPr>
            <w:r>
              <w:t>29</w:t>
            </w:r>
          </w:p>
          <w:p w14:paraId="6F57D2DB" w14:textId="1DE02470" w:rsidR="005039C6" w:rsidRDefault="005039C6" w:rsidP="00EA6D3D">
            <w:pPr>
              <w:pStyle w:val="NoSpacing"/>
            </w:pPr>
          </w:p>
        </w:tc>
      </w:tr>
      <w:tr w:rsidR="005039C6" w14:paraId="64834442" w14:textId="77777777" w:rsidTr="008F6D3A">
        <w:tc>
          <w:tcPr>
            <w:tcW w:w="1392" w:type="dxa"/>
          </w:tcPr>
          <w:p w14:paraId="5583A669" w14:textId="360C5AE6" w:rsidR="005039C6" w:rsidRDefault="005039C6" w:rsidP="00EA6D3D">
            <w:pPr>
              <w:pStyle w:val="NoSpacing"/>
            </w:pPr>
            <w:r>
              <w:t>Fishing days effort</w:t>
            </w:r>
          </w:p>
        </w:tc>
        <w:tc>
          <w:tcPr>
            <w:tcW w:w="1060" w:type="dxa"/>
          </w:tcPr>
          <w:p w14:paraId="3693FA9D" w14:textId="77777777" w:rsidR="005039C6" w:rsidRDefault="005039C6" w:rsidP="00EA6D3D">
            <w:pPr>
              <w:pStyle w:val="NoSpacing"/>
            </w:pPr>
          </w:p>
        </w:tc>
        <w:tc>
          <w:tcPr>
            <w:tcW w:w="1061" w:type="dxa"/>
          </w:tcPr>
          <w:p w14:paraId="66022529" w14:textId="77777777" w:rsidR="005039C6" w:rsidRDefault="005039C6" w:rsidP="00EA6D3D">
            <w:pPr>
              <w:pStyle w:val="NoSpacing"/>
            </w:pPr>
          </w:p>
        </w:tc>
        <w:tc>
          <w:tcPr>
            <w:tcW w:w="1175" w:type="dxa"/>
          </w:tcPr>
          <w:p w14:paraId="7B5884B6" w14:textId="77777777" w:rsidR="005039C6" w:rsidRDefault="005039C6" w:rsidP="00EA6D3D">
            <w:pPr>
              <w:pStyle w:val="NoSpacing"/>
            </w:pPr>
          </w:p>
        </w:tc>
        <w:tc>
          <w:tcPr>
            <w:tcW w:w="1175" w:type="dxa"/>
          </w:tcPr>
          <w:p w14:paraId="0DE82CC3" w14:textId="77777777" w:rsidR="005039C6" w:rsidRDefault="005039C6" w:rsidP="00EA6D3D">
            <w:pPr>
              <w:pStyle w:val="NoSpacing"/>
            </w:pPr>
          </w:p>
        </w:tc>
        <w:tc>
          <w:tcPr>
            <w:tcW w:w="1175" w:type="dxa"/>
          </w:tcPr>
          <w:p w14:paraId="1F09E505" w14:textId="77777777" w:rsidR="005039C6" w:rsidRDefault="005039C6" w:rsidP="00EA6D3D">
            <w:pPr>
              <w:pStyle w:val="NoSpacing"/>
            </w:pPr>
          </w:p>
        </w:tc>
        <w:tc>
          <w:tcPr>
            <w:tcW w:w="989" w:type="dxa"/>
          </w:tcPr>
          <w:p w14:paraId="59A3C2C9" w14:textId="34071BEB" w:rsidR="005039C6" w:rsidRDefault="005039C6" w:rsidP="00EA6D3D">
            <w:pPr>
              <w:pStyle w:val="NoSpacing"/>
            </w:pPr>
            <w:r>
              <w:t>28</w:t>
            </w:r>
          </w:p>
        </w:tc>
        <w:tc>
          <w:tcPr>
            <w:tcW w:w="989" w:type="dxa"/>
          </w:tcPr>
          <w:p w14:paraId="7A748E47" w14:textId="5A131A9E" w:rsidR="005039C6" w:rsidRDefault="005039C6" w:rsidP="00EA6D3D">
            <w:pPr>
              <w:pStyle w:val="NoSpacing"/>
            </w:pPr>
            <w:r>
              <w:t>28</w:t>
            </w:r>
          </w:p>
        </w:tc>
      </w:tr>
    </w:tbl>
    <w:p w14:paraId="666C8A7E" w14:textId="71535228" w:rsidR="00183BA5" w:rsidRDefault="00183BA5" w:rsidP="00EA6D3D">
      <w:pPr>
        <w:pStyle w:val="NoSpacing"/>
      </w:pPr>
    </w:p>
    <w:p w14:paraId="6D09F61D" w14:textId="181E80C5" w:rsidR="00183BA5" w:rsidRPr="005039C6" w:rsidRDefault="005039C6" w:rsidP="005039C6">
      <w:pPr>
        <w:pStyle w:val="NoSpacing"/>
        <w:rPr>
          <w:i/>
          <w:iCs/>
          <w:sz w:val="18"/>
          <w:szCs w:val="18"/>
        </w:rPr>
      </w:pPr>
      <w:r w:rsidRPr="005039C6">
        <w:rPr>
          <w:i/>
          <w:iCs/>
          <w:sz w:val="18"/>
          <w:szCs w:val="18"/>
        </w:rPr>
        <w:t>Note: Marine Scotland ha</w:t>
      </w:r>
      <w:r w:rsidR="00610059">
        <w:rPr>
          <w:i/>
          <w:iCs/>
          <w:sz w:val="18"/>
          <w:szCs w:val="18"/>
        </w:rPr>
        <w:t>s</w:t>
      </w:r>
      <w:r w:rsidRPr="005039C6">
        <w:rPr>
          <w:i/>
          <w:iCs/>
          <w:sz w:val="18"/>
          <w:szCs w:val="18"/>
        </w:rPr>
        <w:t xml:space="preserve"> amalgamated Fleet returns with the Cree since 2019 for Data Protection reasons. The above numbers for 2019 and 2020 include only the Rusko waters.</w:t>
      </w:r>
    </w:p>
    <w:p w14:paraId="3233976B" w14:textId="77777777" w:rsidR="009C3E6C" w:rsidRPr="005039C6" w:rsidRDefault="009C3E6C" w:rsidP="00EA6D3D">
      <w:pPr>
        <w:pStyle w:val="NoSpacing"/>
        <w:rPr>
          <w:i/>
          <w:iCs/>
          <w:sz w:val="18"/>
          <w:szCs w:val="18"/>
        </w:rPr>
      </w:pPr>
    </w:p>
    <w:p w14:paraId="0044B878" w14:textId="54CA5FE5" w:rsidR="009C3E6C" w:rsidRDefault="005039C6" w:rsidP="00EA6D3D">
      <w:pPr>
        <w:pStyle w:val="NoSpacing"/>
      </w:pPr>
      <w:r>
        <w:t xml:space="preserve">As the fishing days effort numbers show, </w:t>
      </w:r>
      <w:r w:rsidR="00CE272B">
        <w:t xml:space="preserve">due to </w:t>
      </w:r>
      <w:r w:rsidR="009C3E6C">
        <w:t xml:space="preserve">the low level of fishing that is </w:t>
      </w:r>
      <w:r>
        <w:t>taking</w:t>
      </w:r>
      <w:r w:rsidR="009C3E6C">
        <w:t xml:space="preserve"> place the catch statistics do not provide a reliable view of fish numbers.</w:t>
      </w:r>
      <w:r>
        <w:t xml:space="preserve"> 2020 fishing effort was impacted by the COVID regulations. It is hoped this will improve in the current year as other stretches are fished, but the drought in the current year will likely depress the amount of fishing</w:t>
      </w:r>
      <w:r w:rsidR="00CE272B">
        <w:t>, as only two spates have occurred since June</w:t>
      </w:r>
      <w:r>
        <w:t>.</w:t>
      </w:r>
      <w:r w:rsidR="00CE272B">
        <w:t xml:space="preserve"> Encouraging numbers of fish have been seen running up the waterfall at the Pool of Ness in the last two spates.</w:t>
      </w:r>
    </w:p>
    <w:p w14:paraId="0BD2BCA9" w14:textId="2E9C51E6" w:rsidR="00CE272B" w:rsidRDefault="00CE272B" w:rsidP="00EA6D3D">
      <w:pPr>
        <w:pStyle w:val="NoSpacing"/>
      </w:pPr>
    </w:p>
    <w:p w14:paraId="2BDE9E09" w14:textId="77777777" w:rsidR="005033A1" w:rsidRDefault="005033A1" w:rsidP="00EA6D3D">
      <w:pPr>
        <w:pStyle w:val="NoSpacing"/>
      </w:pPr>
    </w:p>
    <w:p w14:paraId="22299AC5" w14:textId="77777777" w:rsidR="005033A1" w:rsidRDefault="005033A1" w:rsidP="00EA6D3D">
      <w:pPr>
        <w:pStyle w:val="NoSpacing"/>
        <w:rPr>
          <w:b/>
        </w:rPr>
      </w:pPr>
      <w:r w:rsidRPr="005033A1">
        <w:rPr>
          <w:b/>
        </w:rPr>
        <w:t>Funding</w:t>
      </w:r>
      <w:r w:rsidR="00354C5F">
        <w:rPr>
          <w:b/>
        </w:rPr>
        <w:t xml:space="preserve"> and accounts</w:t>
      </w:r>
    </w:p>
    <w:p w14:paraId="31234D83" w14:textId="77777777" w:rsidR="005033A1" w:rsidRDefault="005033A1" w:rsidP="00EA6D3D">
      <w:pPr>
        <w:pStyle w:val="NoSpacing"/>
        <w:rPr>
          <w:b/>
        </w:rPr>
      </w:pPr>
    </w:p>
    <w:p w14:paraId="32615B2E" w14:textId="77777777" w:rsidR="005033A1" w:rsidRDefault="005033A1" w:rsidP="00EA6D3D">
      <w:pPr>
        <w:pStyle w:val="NoSpacing"/>
      </w:pPr>
      <w:r>
        <w:t>Please refer to the accounts.</w:t>
      </w:r>
      <w:r w:rsidR="00354C5F">
        <w:t xml:space="preserve"> These will be published on the Water of Fleet section of the Galloway Fisheries Trust website.</w:t>
      </w:r>
    </w:p>
    <w:p w14:paraId="5BF3BD37" w14:textId="77777777" w:rsidR="00354C5F" w:rsidRDefault="00354C5F" w:rsidP="00EA6D3D">
      <w:pPr>
        <w:pStyle w:val="NoSpacing"/>
      </w:pPr>
    </w:p>
    <w:p w14:paraId="30AEC817" w14:textId="77777777" w:rsidR="00354C5F" w:rsidRDefault="00354C5F" w:rsidP="00EA6D3D">
      <w:pPr>
        <w:pStyle w:val="NoSpacing"/>
      </w:pPr>
    </w:p>
    <w:p w14:paraId="11854BBD" w14:textId="77777777" w:rsidR="005033A1" w:rsidRPr="005033A1" w:rsidRDefault="005033A1" w:rsidP="00EA6D3D">
      <w:pPr>
        <w:pStyle w:val="NoSpacing"/>
        <w:rPr>
          <w:b/>
        </w:rPr>
      </w:pPr>
      <w:r w:rsidRPr="005033A1">
        <w:rPr>
          <w:b/>
        </w:rPr>
        <w:t>Meetings</w:t>
      </w:r>
    </w:p>
    <w:p w14:paraId="41B7522C" w14:textId="77777777" w:rsidR="005033A1" w:rsidRDefault="005033A1" w:rsidP="00EA6D3D">
      <w:pPr>
        <w:pStyle w:val="NoSpacing"/>
      </w:pPr>
    </w:p>
    <w:p w14:paraId="30D84AE3" w14:textId="72CDC781" w:rsidR="005033A1" w:rsidRDefault="005033A1" w:rsidP="00EA6D3D">
      <w:pPr>
        <w:pStyle w:val="NoSpacing"/>
      </w:pPr>
      <w:r>
        <w:t xml:space="preserve">A </w:t>
      </w:r>
      <w:r w:rsidR="00354C5F">
        <w:t xml:space="preserve">board </w:t>
      </w:r>
      <w:r>
        <w:t xml:space="preserve">meeting is scheduled for </w:t>
      </w:r>
      <w:r w:rsidR="00CE272B">
        <w:t xml:space="preserve">5pm, </w:t>
      </w:r>
      <w:r>
        <w:t xml:space="preserve">Friday </w:t>
      </w:r>
      <w:r w:rsidR="00CE272B">
        <w:t>24 September at the Murray Arms</w:t>
      </w:r>
      <w:r>
        <w:t>.</w:t>
      </w:r>
      <w:r w:rsidR="00354C5F">
        <w:t xml:space="preserve"> </w:t>
      </w:r>
    </w:p>
    <w:p w14:paraId="74BDA554" w14:textId="77777777" w:rsidR="005033A1" w:rsidRDefault="005033A1" w:rsidP="00EA6D3D">
      <w:pPr>
        <w:pStyle w:val="NoSpacing"/>
      </w:pPr>
    </w:p>
    <w:p w14:paraId="2A7C7091" w14:textId="77777777" w:rsidR="005033A1" w:rsidRDefault="005033A1" w:rsidP="00EA6D3D">
      <w:pPr>
        <w:pStyle w:val="NoSpacing"/>
      </w:pPr>
    </w:p>
    <w:p w14:paraId="02F737A2" w14:textId="77777777" w:rsidR="00354C5F" w:rsidRPr="00354C5F" w:rsidRDefault="00354C5F" w:rsidP="00EA6D3D">
      <w:pPr>
        <w:pStyle w:val="NoSpacing"/>
        <w:rPr>
          <w:b/>
        </w:rPr>
      </w:pPr>
      <w:r w:rsidRPr="00354C5F">
        <w:rPr>
          <w:b/>
        </w:rPr>
        <w:t>Complaints</w:t>
      </w:r>
    </w:p>
    <w:p w14:paraId="611DE3DE" w14:textId="77777777" w:rsidR="00354C5F" w:rsidRDefault="00354C5F" w:rsidP="00EA6D3D">
      <w:pPr>
        <w:pStyle w:val="NoSpacing"/>
      </w:pPr>
    </w:p>
    <w:p w14:paraId="52BBA752" w14:textId="77777777" w:rsidR="00354C5F" w:rsidRDefault="00354C5F" w:rsidP="00EA6D3D">
      <w:pPr>
        <w:pStyle w:val="NoSpacing"/>
      </w:pPr>
      <w:r>
        <w:t>None</w:t>
      </w:r>
    </w:p>
    <w:p w14:paraId="040EE64F" w14:textId="77777777" w:rsidR="00354C5F" w:rsidRDefault="00354C5F" w:rsidP="00EA6D3D">
      <w:pPr>
        <w:pStyle w:val="NoSpacing"/>
      </w:pPr>
    </w:p>
    <w:p w14:paraId="4AA61F4B" w14:textId="77777777" w:rsidR="00354C5F" w:rsidRDefault="00354C5F" w:rsidP="00EA6D3D">
      <w:pPr>
        <w:pStyle w:val="NoSpacing"/>
      </w:pPr>
    </w:p>
    <w:p w14:paraId="620B5BBB" w14:textId="77777777" w:rsidR="00354C5F" w:rsidRDefault="00354C5F" w:rsidP="00EA6D3D">
      <w:pPr>
        <w:pStyle w:val="NoSpacing"/>
      </w:pPr>
    </w:p>
    <w:p w14:paraId="68CB0CD1" w14:textId="77777777" w:rsidR="00354C5F" w:rsidRDefault="00354C5F" w:rsidP="00EA6D3D">
      <w:pPr>
        <w:pStyle w:val="NoSpacing"/>
      </w:pPr>
      <w:r>
        <w:t>Richard Gilbey, Chairman</w:t>
      </w:r>
    </w:p>
    <w:p w14:paraId="50B79FBE" w14:textId="303476BA" w:rsidR="00354C5F" w:rsidRPr="005033A1" w:rsidRDefault="00CE272B" w:rsidP="00EA6D3D">
      <w:pPr>
        <w:pStyle w:val="NoSpacing"/>
      </w:pPr>
      <w:r>
        <w:t xml:space="preserve">31 </w:t>
      </w:r>
      <w:proofErr w:type="gramStart"/>
      <w:r>
        <w:t>August,</w:t>
      </w:r>
      <w:proofErr w:type="gramEnd"/>
      <w:r>
        <w:t xml:space="preserve"> 2021</w:t>
      </w:r>
    </w:p>
    <w:sectPr w:rsidR="00354C5F" w:rsidRPr="00503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3D"/>
    <w:rsid w:val="00183BA5"/>
    <w:rsid w:val="00354C5F"/>
    <w:rsid w:val="005033A1"/>
    <w:rsid w:val="005039C6"/>
    <w:rsid w:val="005F6D1F"/>
    <w:rsid w:val="00610059"/>
    <w:rsid w:val="00886087"/>
    <w:rsid w:val="008F6D3A"/>
    <w:rsid w:val="009C3E6C"/>
    <w:rsid w:val="00CE272B"/>
    <w:rsid w:val="00EA6D3D"/>
    <w:rsid w:val="00FA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B27B"/>
  <w15:chartTrackingRefBased/>
  <w15:docId w15:val="{329AAA88-C75E-440D-95F3-E956F52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D3D"/>
    <w:pPr>
      <w:spacing w:after="0" w:line="240" w:lineRule="auto"/>
    </w:pPr>
  </w:style>
  <w:style w:type="table" w:styleId="TableGrid">
    <w:name w:val="Table Grid"/>
    <w:basedOn w:val="TableNormal"/>
    <w:uiPriority w:val="39"/>
    <w:rsid w:val="0018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BA5"/>
    <w:rPr>
      <w:color w:val="0563C1" w:themeColor="hyperlink"/>
      <w:u w:val="single"/>
    </w:rPr>
  </w:style>
  <w:style w:type="character" w:styleId="UnresolvedMention">
    <w:name w:val="Unresolved Mention"/>
    <w:basedOn w:val="DefaultParagraphFont"/>
    <w:uiPriority w:val="99"/>
    <w:semiHidden/>
    <w:unhideWhenUsed/>
    <w:rsid w:val="0018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Gilbey</dc:creator>
  <cp:keywords/>
  <dc:description/>
  <cp:lastModifiedBy>Richard Gilbey</cp:lastModifiedBy>
  <cp:revision>3</cp:revision>
  <dcterms:created xsi:type="dcterms:W3CDTF">2021-08-31T16:17:00Z</dcterms:created>
  <dcterms:modified xsi:type="dcterms:W3CDTF">2021-08-31T16:19:00Z</dcterms:modified>
</cp:coreProperties>
</file>